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auto"/>
          <w:spacing w:val="0"/>
          <w:sz w:val="25"/>
          <w:szCs w:val="25"/>
        </w:rPr>
      </w:pPr>
      <w:r>
        <w:rPr>
          <w:rFonts w:hint="eastAsia" w:ascii="仿宋_GB2312" w:eastAsia="仿宋_GB2312" w:cs="仿宋_GB2312"/>
          <w:b/>
          <w:bCs/>
          <w:color w:val="auto"/>
          <w:spacing w:val="0"/>
          <w:sz w:val="25"/>
          <w:szCs w:val="25"/>
          <w:lang w:val="en-US" w:eastAsia="zh-CN"/>
        </w:rPr>
        <w:t>中华人民共和国气象法</w:t>
      </w:r>
    </w:p>
    <w:p>
      <w:pPr>
        <w:pStyle w:val="2"/>
        <w:keepNext w:val="0"/>
        <w:keepLines w:val="0"/>
        <w:widowControl/>
        <w:suppressLineNumbers w:val="0"/>
        <w:spacing w:before="60" w:beforeAutospacing="0" w:after="60" w:afterAutospacing="0" w:line="456" w:lineRule="atLeast"/>
        <w:ind w:left="0" w:right="0" w:firstLine="504"/>
        <w:rPr>
          <w:color w:val="auto"/>
        </w:rPr>
      </w:pPr>
      <w:r>
        <w:rPr>
          <w:rFonts w:hint="eastAsia" w:ascii="仿宋_GB2312" w:eastAsia="仿宋_GB2312" w:cs="仿宋_GB2312"/>
          <w:color w:val="auto"/>
          <w:spacing w:val="0"/>
          <w:sz w:val="25"/>
          <w:szCs w:val="25"/>
        </w:rPr>
        <w:t>第三十一条  各级气象主管机构应当加强对雷电灾害防御工作的组织管理，并会同有关部门指导对可能遭受雷击的建筑物、构筑物和其他设施安装的雷电灾害防护装置的检测工作。</w:t>
      </w:r>
    </w:p>
    <w:p>
      <w:pPr>
        <w:pStyle w:val="2"/>
        <w:keepNext w:val="0"/>
        <w:keepLines w:val="0"/>
        <w:widowControl/>
        <w:suppressLineNumbers w:val="0"/>
        <w:spacing w:before="60" w:beforeAutospacing="0" w:after="60" w:afterAutospacing="0" w:line="456" w:lineRule="atLeast"/>
        <w:ind w:left="0" w:right="0" w:firstLine="504"/>
        <w:rPr>
          <w:color w:val="auto"/>
        </w:rPr>
      </w:pPr>
      <w:r>
        <w:rPr>
          <w:rFonts w:hint="eastAsia" w:ascii="仿宋_GB2312" w:eastAsia="仿宋_GB2312" w:cs="仿宋_GB2312"/>
          <w:color w:val="auto"/>
          <w:spacing w:val="0"/>
          <w:sz w:val="25"/>
          <w:szCs w:val="25"/>
        </w:rPr>
        <w:t>安装的雷电灾害防护装置应当符合国务院气象主管机构规定的使用要求。</w:t>
      </w: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第三十七条</w:t>
      </w:r>
      <w:r>
        <w:rPr>
          <w:rFonts w:hint="eastAsia" w:ascii="仿宋_GB2312" w:eastAsia="仿宋_GB2312" w:cs="仿宋_GB2312"/>
          <w:color w:val="424242"/>
          <w:spacing w:val="0"/>
          <w:sz w:val="25"/>
          <w:szCs w:val="25"/>
        </w:rPr>
        <w:t>  违反本法规定，安装不符合使用要求的雷电灾害防护装置的，由有关气象主管机构责令改正，给予警告。使用不符合使用要求的雷电灾害防护装置给他人造成损失的，依法承担赔偿责任。</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b/>
          <w:bCs/>
          <w:color w:val="auto"/>
          <w:spacing w:val="0"/>
          <w:sz w:val="25"/>
          <w:szCs w:val="25"/>
          <w:lang w:val="en-US" w:eastAsia="zh-CN"/>
        </w:rPr>
      </w:pPr>
      <w:r>
        <w:rPr>
          <w:rFonts w:hint="eastAsia" w:ascii="仿宋_GB2312" w:eastAsia="仿宋_GB2312" w:cs="仿宋_GB2312"/>
          <w:b/>
          <w:bCs/>
          <w:color w:val="auto"/>
          <w:spacing w:val="0"/>
          <w:sz w:val="25"/>
          <w:szCs w:val="25"/>
          <w:lang w:val="en-US" w:eastAsia="zh-CN"/>
        </w:rPr>
        <w:t>防雷装置设计审核和竣工验收规定</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r>
        <w:rPr>
          <w:rFonts w:ascii="仿宋_GB2312" w:eastAsia="仿宋_GB2312" w:cs="仿宋_GB2312"/>
          <w:color w:val="424242"/>
          <w:spacing w:val="0"/>
          <w:sz w:val="25"/>
          <w:szCs w:val="25"/>
        </w:rPr>
        <w:t>　　</w:t>
      </w:r>
      <w:r>
        <w:rPr>
          <w:rFonts w:hint="eastAsia" w:ascii="仿宋_GB2312" w:eastAsia="仿宋_GB2312" w:cs="仿宋_GB2312"/>
          <w:color w:val="424242"/>
          <w:spacing w:val="0"/>
          <w:sz w:val="25"/>
          <w:szCs w:val="25"/>
        </w:rPr>
        <w:t>第四条  下列建（构）筑物、场所和设施的防雷装置应当经过设计审核和竣工验收：</w:t>
      </w:r>
      <w:r>
        <w:rPr>
          <w:rFonts w:hint="eastAsia" w:ascii="仿宋_GB2312" w:eastAsia="仿宋_GB2312" w:cs="仿宋_GB2312"/>
          <w:color w:val="424242"/>
          <w:spacing w:val="0"/>
          <w:sz w:val="25"/>
          <w:szCs w:val="25"/>
        </w:rPr>
        <w:br w:type="textWrapping"/>
      </w:r>
      <w:r>
        <w:rPr>
          <w:rFonts w:hint="eastAsia" w:ascii="仿宋_GB2312" w:eastAsia="仿宋_GB2312" w:cs="仿宋_GB2312"/>
          <w:color w:val="424242"/>
          <w:spacing w:val="0"/>
          <w:sz w:val="25"/>
          <w:szCs w:val="25"/>
        </w:rPr>
        <w:t>　　（一）《建筑物防雷设计规范》规定的第一、二、三类防雷建筑物；</w:t>
      </w:r>
      <w:r>
        <w:rPr>
          <w:rFonts w:hint="eastAsia" w:ascii="仿宋_GB2312" w:eastAsia="仿宋_GB2312" w:cs="仿宋_GB2312"/>
          <w:color w:val="424242"/>
          <w:spacing w:val="0"/>
          <w:sz w:val="25"/>
          <w:szCs w:val="25"/>
        </w:rPr>
        <w:br w:type="textWrapping"/>
      </w:r>
      <w:r>
        <w:rPr>
          <w:rFonts w:hint="eastAsia" w:ascii="仿宋_GB2312" w:eastAsia="仿宋_GB2312" w:cs="仿宋_GB2312"/>
          <w:color w:val="424242"/>
          <w:spacing w:val="0"/>
          <w:sz w:val="25"/>
          <w:szCs w:val="25"/>
        </w:rPr>
        <w:t>　　（二）油库、气库、加油加气站、液化天然气、油（气）管道站场、阀室等爆炸和火灾危险环境及设施；</w:t>
      </w:r>
      <w:r>
        <w:rPr>
          <w:rFonts w:hint="eastAsia" w:ascii="仿宋_GB2312" w:eastAsia="仿宋_GB2312" w:cs="仿宋_GB2312"/>
          <w:color w:val="424242"/>
          <w:spacing w:val="0"/>
          <w:sz w:val="25"/>
          <w:szCs w:val="25"/>
        </w:rPr>
        <w:br w:type="textWrapping"/>
      </w:r>
      <w:r>
        <w:rPr>
          <w:rFonts w:hint="eastAsia" w:ascii="仿宋_GB2312" w:eastAsia="仿宋_GB2312" w:cs="仿宋_GB2312"/>
          <w:color w:val="424242"/>
          <w:spacing w:val="0"/>
          <w:sz w:val="25"/>
          <w:szCs w:val="25"/>
        </w:rPr>
        <w:t>　　（三）邮电通信、交通运输、广播电视、医疗卫生、金融证券、文化教育、不可移动文物、体育、旅游、游乐场所等社会公共服务场所和设施以及各类电子信息系统；</w:t>
      </w:r>
      <w:r>
        <w:rPr>
          <w:rFonts w:hint="eastAsia" w:ascii="仿宋_GB2312" w:eastAsia="仿宋_GB2312" w:cs="仿宋_GB2312"/>
          <w:color w:val="424242"/>
          <w:spacing w:val="0"/>
          <w:sz w:val="25"/>
          <w:szCs w:val="25"/>
        </w:rPr>
        <w:br w:type="textWrapping"/>
      </w:r>
      <w:r>
        <w:rPr>
          <w:rFonts w:hint="eastAsia" w:ascii="仿宋_GB2312" w:eastAsia="仿宋_GB2312" w:cs="仿宋_GB2312"/>
          <w:color w:val="424242"/>
          <w:spacing w:val="0"/>
          <w:sz w:val="25"/>
          <w:szCs w:val="25"/>
        </w:rPr>
        <w:t>　　（四）按照有关规定应当安装防雷装置的其他场所和设施。</w:t>
      </w:r>
      <w:r>
        <w:rPr>
          <w:rFonts w:hint="eastAsia" w:ascii="仿宋_GB2312" w:eastAsia="仿宋_GB2312" w:cs="仿宋_GB2312"/>
          <w:color w:val="424242"/>
          <w:spacing w:val="0"/>
          <w:sz w:val="25"/>
          <w:szCs w:val="25"/>
        </w:rPr>
        <w:br w:type="textWrapping"/>
      </w:r>
      <w:r>
        <w:rPr>
          <w:rFonts w:hint="eastAsia" w:ascii="仿宋_GB2312" w:eastAsia="仿宋_GB2312" w:cs="仿宋_GB2312"/>
          <w:color w:val="424242"/>
          <w:spacing w:val="0"/>
          <w:sz w:val="25"/>
          <w:szCs w:val="25"/>
        </w:rPr>
        <w:t>　　第五条  防雷装置设计未经审核同意的，不得交付施工。防雷装置竣工未经验收合格的，不得投入使用。</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b/>
          <w:bCs/>
          <w:color w:val="auto"/>
          <w:spacing w:val="0"/>
          <w:sz w:val="25"/>
          <w:szCs w:val="25"/>
          <w:lang w:val="en-US" w:eastAsia="zh-CN"/>
        </w:rPr>
      </w:pPr>
      <w:r>
        <w:rPr>
          <w:rFonts w:hint="eastAsia" w:ascii="仿宋_GB2312" w:eastAsia="仿宋_GB2312" w:cs="仿宋_GB2312"/>
          <w:b/>
          <w:bCs/>
          <w:color w:val="auto"/>
          <w:spacing w:val="0"/>
          <w:sz w:val="25"/>
          <w:szCs w:val="25"/>
          <w:lang w:val="en-US" w:eastAsia="zh-CN"/>
        </w:rPr>
        <w:t>安徽省防雷减灾管理办法</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第七条</w:t>
      </w:r>
      <w:r>
        <w:rPr>
          <w:rFonts w:hint="eastAsia" w:ascii="仿宋_GB2312" w:eastAsia="仿宋_GB2312" w:cs="仿宋_GB2312"/>
          <w:color w:val="424242"/>
          <w:spacing w:val="0"/>
          <w:sz w:val="25"/>
          <w:szCs w:val="25"/>
        </w:rPr>
        <w:t>  下列场所或者设施应当安装防雷装置：</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（一）建筑物防雷设计规范规定的一、二、三类防雷建筑物、构筑物；</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（二）石油、化工等易燃易爆物资的生产、储存、输送、销售等场所和设施；</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（三）电力生产设施和输配电系统；</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（四）计算机信息系统、通讯设施、广播电视设施、自动控制和监控设施；</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（五）国家规定应当安装防雷装置的其他场所和设施。</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第十三条</w:t>
      </w:r>
      <w:r>
        <w:rPr>
          <w:rFonts w:hint="eastAsia" w:ascii="仿宋_GB2312" w:eastAsia="仿宋_GB2312" w:cs="仿宋_GB2312"/>
          <w:color w:val="424242"/>
          <w:spacing w:val="0"/>
          <w:sz w:val="25"/>
          <w:szCs w:val="25"/>
        </w:rPr>
        <w:t>  按照本办法第七条规定安装的防雷装置实行定期检测制度。石油、化工等易燃易爆物资的生产、储存、输送、销售等场所和设施的防雷装置检测周期为每半年一次，其他为每年一次。</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防雷装置的产权单位或者使用单位应当按照前款规定的期限，向防雷装置检测单位申报检测。</w:t>
      </w: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第十四条</w:t>
      </w:r>
      <w:r>
        <w:rPr>
          <w:rFonts w:hint="eastAsia" w:ascii="仿宋_GB2312" w:eastAsia="仿宋_GB2312" w:cs="仿宋_GB2312"/>
          <w:color w:val="424242"/>
          <w:spacing w:val="0"/>
          <w:sz w:val="25"/>
          <w:szCs w:val="25"/>
        </w:rPr>
        <w:t>  防雷装置检测单位对防雷装置检测后，应当出具检测报告。检测项目不合格的，应当告知防雷装置的产权单位或者使用单位。防雷装置的产权单位或者使用单位应当按照要求进行整改，并及时向防雷装置检测单位申报复检。</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防雷装置检测单位应当建立和完善检测工作规程，认真执行国家有关标准和规范，保证防雷装置检测报告的准确、公正，并对检测结果负责。</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防雷装置检测单位应当具有相应的资质。禁止无资质或者超越资质等级许可的范围从事防雷装置检测活动。</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第十五条  防雷装置的产权单位和使用单位应当做好防雷装置的日常维护工作，发现问题及时维修或者报告该装置的检测单位进行处理。</w:t>
      </w:r>
    </w:p>
    <w:p>
      <w:pPr>
        <w:pStyle w:val="2"/>
        <w:keepNext w:val="0"/>
        <w:keepLines w:val="0"/>
        <w:widowControl/>
        <w:suppressLineNumbers w:val="0"/>
        <w:spacing w:before="60" w:beforeAutospacing="0" w:after="60" w:afterAutospacing="0" w:line="456" w:lineRule="atLeast"/>
        <w:ind w:left="0" w:right="0" w:firstLine="504"/>
      </w:pPr>
      <w:r>
        <w:rPr>
          <w:rFonts w:ascii="仿宋_GB2312" w:eastAsia="仿宋_GB2312" w:cs="仿宋_GB2312"/>
          <w:color w:val="424242"/>
          <w:spacing w:val="0"/>
          <w:sz w:val="25"/>
          <w:szCs w:val="25"/>
        </w:rPr>
        <w:t>第十七条</w:t>
      </w:r>
      <w:r>
        <w:rPr>
          <w:rFonts w:hint="eastAsia" w:ascii="仿宋_GB2312" w:eastAsia="仿宋_GB2312" w:cs="仿宋_GB2312"/>
          <w:color w:val="424242"/>
          <w:spacing w:val="0"/>
          <w:sz w:val="25"/>
          <w:szCs w:val="25"/>
        </w:rPr>
        <w:t>  违反本办法规定，有下列行为之一的，由县级以上地方对建设工程防雷负有监督管理职责的部门责令限期改正；逾期不改正的，处以3000元以上3万元以下的罚款：</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（一）拒不安装防雷装置的</w:t>
      </w:r>
      <w:bookmarkStart w:id="0" w:name="_GoBack"/>
      <w:bookmarkEnd w:id="0"/>
      <w:r>
        <w:rPr>
          <w:rFonts w:hint="eastAsia" w:ascii="仿宋_GB2312" w:eastAsia="仿宋_GB2312" w:cs="仿宋_GB2312"/>
          <w:color w:val="424242"/>
          <w:spacing w:val="0"/>
          <w:sz w:val="25"/>
          <w:szCs w:val="25"/>
        </w:rPr>
        <w:t>；</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（二）防雷装置设计文件未经审核批准，擅自交付施工的；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（三）防雷装置未经验收合格，擅自交付使用的；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（四）未定期对防雷装置申报检测或者经检测不合格，拒不整改的。</w:t>
      </w:r>
    </w:p>
    <w:p>
      <w:pPr>
        <w:pStyle w:val="2"/>
        <w:keepNext w:val="0"/>
        <w:keepLines w:val="0"/>
        <w:widowControl/>
        <w:suppressLineNumbers w:val="0"/>
        <w:spacing w:before="60" w:beforeAutospacing="0" w:after="60" w:afterAutospacing="0" w:line="456" w:lineRule="atLeast"/>
        <w:ind w:left="0" w:right="0" w:firstLine="504"/>
      </w:pPr>
      <w:r>
        <w:rPr>
          <w:rFonts w:hint="eastAsia" w:ascii="仿宋_GB2312" w:eastAsia="仿宋_GB2312" w:cs="仿宋_GB2312"/>
          <w:color w:val="424242"/>
          <w:spacing w:val="0"/>
          <w:sz w:val="25"/>
          <w:szCs w:val="25"/>
        </w:rPr>
        <w:t>第十八条  违反本办法规定，导致雷击造成火灾、爆炸、人员伤亡以及财产重大损失的，依法追究有关单位和直接责任人员的法律责任。</w:t>
      </w: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color w:val="424242"/>
          <w:spacing w:val="0"/>
          <w:sz w:val="25"/>
          <w:szCs w:val="25"/>
        </w:rPr>
      </w:pPr>
    </w:p>
    <w:p>
      <w:pPr>
        <w:pStyle w:val="2"/>
        <w:keepNext w:val="0"/>
        <w:keepLines w:val="0"/>
        <w:widowControl/>
        <w:suppressLineNumbers w:val="0"/>
        <w:spacing w:before="60" w:beforeAutospacing="0" w:after="60" w:afterAutospacing="0" w:line="456" w:lineRule="atLeast"/>
        <w:ind w:left="0" w:right="0" w:firstLine="504"/>
        <w:rPr>
          <w:rFonts w:hint="eastAsia" w:ascii="仿宋_GB2312" w:eastAsia="仿宋_GB2312" w:cs="仿宋_GB2312"/>
          <w:b/>
          <w:bCs/>
          <w:color w:val="auto"/>
          <w:spacing w:val="0"/>
          <w:sz w:val="25"/>
          <w:szCs w:val="25"/>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35760"/>
    <w:rsid w:val="4DA357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4">
    <w:name w:val="FollowedHyperlink"/>
    <w:basedOn w:val="3"/>
    <w:uiPriority w:val="0"/>
    <w:rPr>
      <w:color w:val="666666"/>
      <w:u w:val="none"/>
    </w:rPr>
  </w:style>
  <w:style w:type="character" w:styleId="5">
    <w:name w:val="Hyperlink"/>
    <w:basedOn w:val="3"/>
    <w:uiPriority w:val="0"/>
    <w:rPr>
      <w:color w:val="666666"/>
      <w:u w:val="none"/>
    </w:rPr>
  </w:style>
  <w:style w:type="character" w:customStyle="1" w:styleId="7">
    <w:name w:val="active2"/>
    <w:basedOn w:val="3"/>
    <w:uiPriority w:val="0"/>
    <w:rPr>
      <w:shd w:val="clear" w:fill="F6F6F6"/>
    </w:rPr>
  </w:style>
  <w:style w:type="character" w:customStyle="1" w:styleId="8">
    <w:name w:val="active1"/>
    <w:basedOn w:val="3"/>
    <w:uiPriority w:val="0"/>
    <w:rPr>
      <w:shd w:val="clear" w:fill="F6F6F6"/>
    </w:rPr>
  </w:style>
  <w:style w:type="character" w:customStyle="1" w:styleId="9">
    <w:name w:val="active"/>
    <w:basedOn w:val="3"/>
    <w:uiPriority w:val="0"/>
    <w:rPr>
      <w:shd w:val="clear" w:fill="F6F6F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2018-09-12T02:34:00Z</dcterms:created>
  <dc:creator>智能防雷器 在线监测</dc:creator>
  <cp:lastModifiedBy>智能防雷器 在线监测</cp:lastModifiedBy>
  <dcterms:modified xsi:type="dcterms:W3CDTF">2018-09-12T04:09:31Z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